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79D6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</w:p>
    <w:p w14:paraId="6E75C467" w14:textId="77777777" w:rsidR="00166BF6" w:rsidRPr="00166BF6" w:rsidRDefault="00166BF6" w:rsidP="00166BF6">
      <w:pPr>
        <w:spacing w:after="0" w:line="240" w:lineRule="auto"/>
        <w:jc w:val="center"/>
        <w:rPr>
          <w:rFonts w:asciiTheme="majorHAnsi" w:hAnsiTheme="majorHAnsi" w:cstheme="majorHAnsi"/>
          <w:b/>
          <w:sz w:val="36"/>
          <w:szCs w:val="36"/>
        </w:rPr>
      </w:pPr>
      <w:bookmarkStart w:id="0" w:name="_Hlk214285742"/>
      <w:bookmarkStart w:id="1" w:name="_Hlk214286372"/>
      <w:r>
        <w:rPr>
          <w:rFonts w:asciiTheme="majorHAnsi" w:hAnsiTheme="majorHAnsi" w:cstheme="majorHAnsi"/>
          <w:b/>
          <w:bCs/>
          <w:sz w:val="36"/>
          <w:szCs w:val="36"/>
          <w:lang w:val="sl"/>
        </w:rPr>
        <w:t>TEHNIČNE PODROBNOSTI</w:t>
      </w:r>
    </w:p>
    <w:bookmarkEnd w:id="0"/>
    <w:p w14:paraId="36FCA472" w14:textId="4B0068FA" w:rsidR="00166BF6" w:rsidRPr="00166BF6" w:rsidRDefault="00166BF6" w:rsidP="00166BF6">
      <w:pPr>
        <w:spacing w:after="0" w:line="240" w:lineRule="auto"/>
        <w:jc w:val="center"/>
        <w:rPr>
          <w:rFonts w:asciiTheme="majorHAnsi" w:hAnsiTheme="majorHAnsi" w:cstheme="majorHAnsi"/>
          <w:b/>
          <w:color w:val="4472C4" w:themeColor="accent1"/>
          <w:sz w:val="36"/>
          <w:szCs w:val="36"/>
        </w:rPr>
      </w:pPr>
      <w:r>
        <w:rPr>
          <w:rFonts w:asciiTheme="majorHAnsi" w:hAnsiTheme="majorHAnsi" w:cstheme="majorHAnsi"/>
          <w:b/>
          <w:bCs/>
          <w:color w:val="4472C4" w:themeColor="accent1"/>
          <w:sz w:val="36"/>
          <w:szCs w:val="36"/>
          <w:lang w:val="sl"/>
        </w:rPr>
        <w:t>SKLOP 2</w:t>
      </w:r>
    </w:p>
    <w:bookmarkEnd w:id="1"/>
    <w:p w14:paraId="153D7B2A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87"/>
        <w:gridCol w:w="5429"/>
      </w:tblGrid>
      <w:tr w:rsidR="00166BF6" w:rsidRPr="00166BF6" w14:paraId="4E02642D" w14:textId="77777777" w:rsidTr="00166BF6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2AAB440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Naročnik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9D1EBB8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Arnes</w:t>
            </w:r>
          </w:p>
          <w:p w14:paraId="254CBE0C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Tehnološki park 18</w:t>
            </w:r>
          </w:p>
          <w:p w14:paraId="0C23A1C9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1000 Ljubljana</w:t>
            </w:r>
          </w:p>
        </w:tc>
      </w:tr>
      <w:tr w:rsidR="00166BF6" w:rsidRPr="00166BF6" w14:paraId="3247790C" w14:textId="77777777" w:rsidTr="00166BF6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CC9E91D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Oznaka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900E469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</w:rPr>
            </w:pPr>
            <w:bookmarkStart w:id="2" w:name="_Hlk214262414"/>
            <w:r>
              <w:rPr>
                <w:rFonts w:asciiTheme="majorHAnsi" w:hAnsiTheme="majorHAnsi" w:cstheme="majorHAnsi"/>
                <w:b/>
                <w:bCs/>
                <w:lang w:val="sl"/>
              </w:rPr>
              <w:t>DNS Anycast 2026</w:t>
            </w:r>
            <w:bookmarkEnd w:id="2"/>
          </w:p>
        </w:tc>
      </w:tr>
      <w:tr w:rsidR="00166BF6" w:rsidRPr="00166BF6" w14:paraId="5DFE266D" w14:textId="77777777" w:rsidTr="00166BF6">
        <w:trPr>
          <w:jc w:val="center"/>
        </w:trPr>
        <w:tc>
          <w:tcPr>
            <w:tcW w:w="1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7AFB8039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  <w:bCs/>
                <w:lang w:val="sl"/>
              </w:rPr>
              <w:t>Predmet javnega naročila</w:t>
            </w:r>
          </w:p>
        </w:tc>
        <w:tc>
          <w:tcPr>
            <w:tcW w:w="30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D72F3C2" w14:textId="77777777" w:rsidR="00166BF6" w:rsidRPr="00166BF6" w:rsidRDefault="00166BF6" w:rsidP="00573AFB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lang w:val="sl"/>
              </w:rPr>
              <w:t xml:space="preserve">Predmet javnega naročila je </w:t>
            </w:r>
            <w:bookmarkStart w:id="3" w:name="_Hlk214262435"/>
            <w:r>
              <w:rPr>
                <w:rFonts w:asciiTheme="majorHAnsi" w:hAnsiTheme="majorHAnsi" w:cstheme="majorHAnsi"/>
                <w:lang w:val="sl"/>
              </w:rPr>
              <w:t xml:space="preserve">zagotavljanje anycast storitve za .si (TLD). </w:t>
            </w:r>
            <w:bookmarkEnd w:id="3"/>
          </w:p>
        </w:tc>
      </w:tr>
    </w:tbl>
    <w:p w14:paraId="7A151257" w14:textId="77777777" w:rsidR="00166BF6" w:rsidRPr="00166BF6" w:rsidRDefault="00166BF6" w:rsidP="00166BF6">
      <w:pPr>
        <w:rPr>
          <w:rFonts w:asciiTheme="majorHAnsi" w:eastAsiaTheme="majorEastAsia" w:hAnsiTheme="majorHAnsi" w:cstheme="majorHAnsi"/>
          <w:b/>
        </w:rPr>
      </w:pPr>
    </w:p>
    <w:p w14:paraId="42FC220E" w14:textId="468AB98A" w:rsidR="00166BF6" w:rsidRPr="00166BF6" w:rsidRDefault="00166BF6" w:rsidP="00166BF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b/>
          <w:bCs/>
          <w:color w:val="003A8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3A81"/>
          <w:sz w:val="24"/>
          <w:szCs w:val="24"/>
          <w:lang w:val="sl"/>
        </w:rPr>
        <w:t>Tehnični opis</w:t>
      </w:r>
    </w:p>
    <w:p w14:paraId="26B98D35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5DB33D6A" w14:textId="3CAF28B5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Storitve imenskega strežnika se zagotavljajo kot standard na IP-naslovih, ki so dodeljeni izvajalcu. Ti IP-naslovi se lahko uporabljajo tudi za imenske storitve drugih uporabnikov (shared IP). Storitve se lahko po potrebi zagotavljajo tudi na IP-naslovih uporabnika.</w:t>
      </w:r>
    </w:p>
    <w:p w14:paraId="4047EC8A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224A4C97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 xml:space="preserve">Imenske storitve se izvajajo na več lokacijah po svetu. Storitev podpira IPv4 in IPv6. </w:t>
      </w:r>
    </w:p>
    <w:p w14:paraId="17690A42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3BB51CE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Dostava con in njihova distribucija na imenske strežnike se izvajata z uporabo standardnih DNS-mehanizmov (NOTIFY, AXFR/IXFR s TSIG). Po dogovoru je lahko cona, ki jo predloži uporabnik, preverjena, ali vsebuje določene zapise. Cona se prenese na imenski strežnik samo, če je preverjanje uspešno.</w:t>
      </w:r>
    </w:p>
    <w:p w14:paraId="343E1EC8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4E2FBB6B" w14:textId="77777777" w:rsidR="00166BF6" w:rsidRPr="00166BF6" w:rsidRDefault="00166BF6" w:rsidP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Zaradi narave sistema in značilnosti interneta izvajalec ne more jamčiti, da so podatki na posameznih lokacijah imenskih strežnikov vedno povsem sinhronizirani.</w:t>
      </w:r>
    </w:p>
    <w:p w14:paraId="20A05C28" w14:textId="77777777" w:rsidR="00166BF6" w:rsidRPr="00166BF6" w:rsidRDefault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17C99F6" w14:textId="77777777" w:rsidR="00166BF6" w:rsidRPr="00166BF6" w:rsidRDefault="00166BF6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2AD9AA6C" w14:textId="62250C2F" w:rsidR="003576EE" w:rsidRPr="00166BF6" w:rsidRDefault="00C46130" w:rsidP="00166BF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b/>
          <w:bCs/>
          <w:color w:val="003A8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3A81"/>
          <w:sz w:val="24"/>
          <w:szCs w:val="24"/>
          <w:lang w:val="sl"/>
        </w:rPr>
        <w:t>Sporazum o ravni storitve (SLA)</w:t>
      </w:r>
    </w:p>
    <w:p w14:paraId="1F32A246" w14:textId="77777777" w:rsidR="00166BF6" w:rsidRPr="00166BF6" w:rsidRDefault="00166BF6" w:rsidP="00166BF6">
      <w:pPr>
        <w:pStyle w:val="NoSpacing"/>
        <w:rPr>
          <w:rFonts w:asciiTheme="majorHAnsi" w:hAnsiTheme="majorHAnsi" w:cstheme="majorHAnsi"/>
        </w:rPr>
      </w:pPr>
    </w:p>
    <w:p w14:paraId="7B6BB126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1. Razpoložljivost</w:t>
      </w:r>
    </w:p>
    <w:p w14:paraId="6D77ED52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Izvajalec uporablja pomembne tehnične vire za doseganje čim večje razpoložljivosti lokacij imenskih strežnikov.</w:t>
      </w:r>
    </w:p>
    <w:p w14:paraId="2CD85FFF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03E78132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V primeru vzdrževalnih posegov, ki jih lahko izvajalec izvaja kadarkoli, je lahko razpoložljivost imenske storitve zmanjšana.</w:t>
      </w:r>
    </w:p>
    <w:p w14:paraId="6354208C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2D717C58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2 Parametri nivoja storitve</w:t>
      </w:r>
    </w:p>
    <w:p w14:paraId="75BBFB81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V zvezi s parametri SLA izvajalec razlikuje med »razreševanjem DNS-con« ter »zagotavljanjem in distribucijo DNS-con«.</w:t>
      </w:r>
    </w:p>
    <w:p w14:paraId="47AC8544" w14:textId="083AC6D5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Izvajalec zagotavlja uporabniku dogovorjene storitve v skladu z naslednjimi parametri SLA, ob upoštevanju pripadajočih ključnih kazalnikov uspešnosti (</w:t>
      </w:r>
      <w:r w:rsidR="00CF0C07" w:rsidRPr="00936B34">
        <w:rPr>
          <w:rFonts w:asciiTheme="majorHAnsi" w:hAnsiTheme="majorHAnsi" w:cstheme="majorHAnsi"/>
          <w:color w:val="000000"/>
          <w:lang w:val="en-GB"/>
        </w:rPr>
        <w:t xml:space="preserve">key performance indicators </w:t>
      </w:r>
      <w:r w:rsidR="00CF0C07">
        <w:rPr>
          <w:rFonts w:asciiTheme="majorHAnsi" w:hAnsiTheme="majorHAnsi" w:cstheme="majorHAnsi"/>
          <w:color w:val="000000"/>
          <w:lang w:val="en-GB"/>
        </w:rPr>
        <w:t xml:space="preserve">= </w:t>
      </w:r>
      <w:r>
        <w:rPr>
          <w:rFonts w:asciiTheme="majorHAnsi" w:hAnsiTheme="majorHAnsi" w:cstheme="majorHAnsi"/>
          <w:color w:val="000000"/>
          <w:lang w:val="sl"/>
        </w:rPr>
        <w:t>KPI):</w:t>
      </w:r>
    </w:p>
    <w:p w14:paraId="40814FDB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BE14958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4477"/>
        </w:rPr>
      </w:pPr>
      <w:r>
        <w:rPr>
          <w:rFonts w:asciiTheme="majorHAnsi" w:hAnsiTheme="majorHAnsi" w:cstheme="majorHAnsi"/>
          <w:color w:val="004477"/>
          <w:lang w:val="sl"/>
        </w:rPr>
        <w:t>2.1 Razreševanje con DNS</w:t>
      </w:r>
    </w:p>
    <w:p w14:paraId="4CC78511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979"/>
        <w:gridCol w:w="2126"/>
        <w:gridCol w:w="4911"/>
      </w:tblGrid>
      <w:tr w:rsidR="003576EE" w:rsidRPr="00166BF6" w14:paraId="6567D0B9" w14:textId="77777777" w:rsidTr="00301602">
        <w:tc>
          <w:tcPr>
            <w:tcW w:w="1979" w:type="dxa"/>
          </w:tcPr>
          <w:p w14:paraId="1D48BDB0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Parameter SLA</w:t>
            </w:r>
          </w:p>
        </w:tc>
        <w:tc>
          <w:tcPr>
            <w:tcW w:w="2126" w:type="dxa"/>
          </w:tcPr>
          <w:p w14:paraId="0AA1BA9E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Ključni indikator uspešnosti (KPI)</w:t>
            </w:r>
          </w:p>
        </w:tc>
        <w:tc>
          <w:tcPr>
            <w:tcW w:w="4911" w:type="dxa"/>
          </w:tcPr>
          <w:p w14:paraId="79810348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Opredelitev</w:t>
            </w:r>
          </w:p>
        </w:tc>
      </w:tr>
      <w:tr w:rsidR="003576EE" w:rsidRPr="00166BF6" w14:paraId="7320DB2A" w14:textId="77777777" w:rsidTr="00301602">
        <w:tc>
          <w:tcPr>
            <w:tcW w:w="1979" w:type="dxa"/>
          </w:tcPr>
          <w:p w14:paraId="5ABF34E1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lastRenderedPageBreak/>
              <w:t>Razpoložljivost vozlišča</w:t>
            </w:r>
          </w:p>
        </w:tc>
        <w:tc>
          <w:tcPr>
            <w:tcW w:w="2126" w:type="dxa"/>
          </w:tcPr>
          <w:p w14:paraId="745C7640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&gt; 15 vozlišč</w:t>
            </w:r>
          </w:p>
        </w:tc>
        <w:tc>
          <w:tcPr>
            <w:tcW w:w="4911" w:type="dxa"/>
          </w:tcPr>
          <w:p w14:paraId="1A315F47" w14:textId="51EA7F5E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Število vozlišč, ki odgovarjajo na DNS-poizvedbe. </w:t>
            </w:r>
          </w:p>
        </w:tc>
      </w:tr>
      <w:tr w:rsidR="003576EE" w:rsidRPr="00166BF6" w14:paraId="5E5A762A" w14:textId="77777777" w:rsidTr="00301602">
        <w:tc>
          <w:tcPr>
            <w:tcW w:w="1979" w:type="dxa"/>
          </w:tcPr>
          <w:p w14:paraId="4E84D930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Razpoložljivost storitve</w:t>
            </w:r>
          </w:p>
        </w:tc>
        <w:tc>
          <w:tcPr>
            <w:tcW w:w="2126" w:type="dxa"/>
          </w:tcPr>
          <w:p w14:paraId="598CD4E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&gt; 99,8 %</w:t>
            </w:r>
          </w:p>
          <w:p w14:paraId="0ACFE920" w14:textId="77777777" w:rsidR="003576EE" w:rsidRPr="00166BF6" w:rsidRDefault="003576EE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4911" w:type="dxa"/>
          </w:tcPr>
          <w:p w14:paraId="652F303D" w14:textId="62E4249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Delež poizvedb DNS, na katere je globalno odgovorjeno</w:t>
            </w:r>
            <w:r w:rsidR="00CF0C07"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. </w:t>
            </w:r>
          </w:p>
        </w:tc>
      </w:tr>
      <w:tr w:rsidR="003576EE" w:rsidRPr="00166BF6" w14:paraId="1CE5CFEC" w14:textId="77777777" w:rsidTr="00301602">
        <w:tc>
          <w:tcPr>
            <w:tcW w:w="1979" w:type="dxa"/>
          </w:tcPr>
          <w:p w14:paraId="4F74199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Čas krožnega prenosa (Round trip time)</w:t>
            </w:r>
          </w:p>
        </w:tc>
        <w:tc>
          <w:tcPr>
            <w:tcW w:w="2126" w:type="dxa"/>
          </w:tcPr>
          <w:p w14:paraId="340600F5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&lt; 50 ms</w:t>
            </w:r>
          </w:p>
        </w:tc>
        <w:tc>
          <w:tcPr>
            <w:tcW w:w="4911" w:type="dxa"/>
          </w:tcPr>
          <w:p w14:paraId="655F87B3" w14:textId="2F645E09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Povprečni čas krožnega prenosa (RTT) poizvedb DNS</w:t>
            </w:r>
            <w:r w:rsidR="00CF0C07">
              <w:rPr>
                <w:rFonts w:asciiTheme="majorHAnsi" w:eastAsia="Calibri" w:hAnsiTheme="majorHAnsi" w:cstheme="majorHAnsi"/>
                <w:color w:val="000000"/>
                <w:lang w:val="sl"/>
              </w:rPr>
              <w:t>.</w:t>
            </w:r>
          </w:p>
        </w:tc>
      </w:tr>
    </w:tbl>
    <w:p w14:paraId="376647CF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4477"/>
        </w:rPr>
      </w:pPr>
    </w:p>
    <w:p w14:paraId="69DD9714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4477"/>
        </w:rPr>
      </w:pPr>
      <w:r>
        <w:rPr>
          <w:rFonts w:asciiTheme="majorHAnsi" w:hAnsiTheme="majorHAnsi" w:cstheme="majorHAnsi"/>
          <w:color w:val="004477"/>
          <w:lang w:val="sl"/>
        </w:rPr>
        <w:t>2.2 Zagotavljanje in distribucija DNS</w:t>
      </w:r>
    </w:p>
    <w:p w14:paraId="74F9D405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979"/>
        <w:gridCol w:w="2126"/>
        <w:gridCol w:w="4911"/>
      </w:tblGrid>
      <w:tr w:rsidR="003576EE" w:rsidRPr="00166BF6" w14:paraId="382D9915" w14:textId="77777777">
        <w:tc>
          <w:tcPr>
            <w:tcW w:w="1979" w:type="dxa"/>
          </w:tcPr>
          <w:p w14:paraId="2F47CA64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Parameter SLA</w:t>
            </w:r>
          </w:p>
        </w:tc>
        <w:tc>
          <w:tcPr>
            <w:tcW w:w="2126" w:type="dxa"/>
          </w:tcPr>
          <w:p w14:paraId="702C1A7E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Ključni indikator uspešnosti (KPI)</w:t>
            </w:r>
          </w:p>
        </w:tc>
        <w:tc>
          <w:tcPr>
            <w:tcW w:w="4911" w:type="dxa"/>
          </w:tcPr>
          <w:p w14:paraId="67014E81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Opredelitev</w:t>
            </w:r>
          </w:p>
        </w:tc>
      </w:tr>
      <w:tr w:rsidR="003576EE" w:rsidRPr="00166BF6" w14:paraId="2946E605" w14:textId="77777777">
        <w:tc>
          <w:tcPr>
            <w:tcW w:w="1979" w:type="dxa"/>
          </w:tcPr>
          <w:p w14:paraId="48569BE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Razpoložljivost vhodnega strežnika za prenos con (Inbound zone transfer uptime) </w:t>
            </w:r>
          </w:p>
        </w:tc>
        <w:tc>
          <w:tcPr>
            <w:tcW w:w="2126" w:type="dxa"/>
          </w:tcPr>
          <w:p w14:paraId="3DA72476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&gt; 98 %</w:t>
            </w:r>
          </w:p>
        </w:tc>
        <w:tc>
          <w:tcPr>
            <w:tcW w:w="4911" w:type="dxa"/>
          </w:tcPr>
          <w:p w14:paraId="502EAA44" w14:textId="0491174B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Razpoložljivost vhodnega imenskega strežnika za obdelavo vhodnih NOTIFY zahtevkov in izvajanje prenosov con iz uporabnikovih strežnikov v zadnjih 30 dneh. </w:t>
            </w:r>
          </w:p>
        </w:tc>
      </w:tr>
      <w:tr w:rsidR="003576EE" w:rsidRPr="00166BF6" w14:paraId="7BEB42A2" w14:textId="77777777">
        <w:tc>
          <w:tcPr>
            <w:tcW w:w="1979" w:type="dxa"/>
          </w:tcPr>
          <w:p w14:paraId="1FF3163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Trajanje distribucije cone (Zone distribution duration) </w:t>
            </w:r>
          </w:p>
        </w:tc>
        <w:tc>
          <w:tcPr>
            <w:tcW w:w="2126" w:type="dxa"/>
          </w:tcPr>
          <w:p w14:paraId="4BA767D6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&lt; 6 minut</w:t>
            </w:r>
          </w:p>
        </w:tc>
        <w:tc>
          <w:tcPr>
            <w:tcW w:w="4911" w:type="dxa"/>
          </w:tcPr>
          <w:p w14:paraId="70475741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Čas, v katerem 90 % produkcijskih vozlišč odgovarja s posodobljenimi podatki cone. </w:t>
            </w:r>
          </w:p>
        </w:tc>
      </w:tr>
    </w:tbl>
    <w:p w14:paraId="0B6841F5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2EDDD64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6A531B6B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114FCCC3" w14:textId="43042C28" w:rsidR="003576EE" w:rsidRPr="00166BF6" w:rsidRDefault="00C46130" w:rsidP="00166BF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b/>
          <w:bCs/>
          <w:color w:val="003A8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3A81"/>
          <w:sz w:val="24"/>
          <w:szCs w:val="24"/>
          <w:lang w:val="sl"/>
        </w:rPr>
        <w:t>Tehnična podpora</w:t>
      </w:r>
    </w:p>
    <w:p w14:paraId="1E8B67DD" w14:textId="77777777" w:rsidR="00166BF6" w:rsidRPr="00166BF6" w:rsidRDefault="00166BF6" w:rsidP="00166BF6">
      <w:pPr>
        <w:pStyle w:val="NoSpacing"/>
        <w:rPr>
          <w:rFonts w:asciiTheme="majorHAnsi" w:hAnsiTheme="majorHAnsi" w:cstheme="majorHAnsi"/>
        </w:rPr>
      </w:pPr>
    </w:p>
    <w:p w14:paraId="3D6F161A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1 Opredelitve</w:t>
      </w:r>
    </w:p>
    <w:p w14:paraId="1730FD5B" w14:textId="2579E645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a) Incident: težava s storitvijo ali katerakoli druga zahteva za tehnično podporo v zvezi z</w:t>
      </w:r>
      <w:r w:rsidR="00301602">
        <w:rPr>
          <w:rFonts w:asciiTheme="majorHAnsi" w:hAnsiTheme="majorHAnsi" w:cstheme="majorHAnsi"/>
          <w:color w:val="000000"/>
          <w:lang w:val="sl"/>
        </w:rPr>
        <w:t xml:space="preserve"> </w:t>
      </w:r>
      <w:r>
        <w:rPr>
          <w:rFonts w:asciiTheme="majorHAnsi" w:hAnsiTheme="majorHAnsi" w:cstheme="majorHAnsi"/>
          <w:color w:val="000000"/>
          <w:lang w:val="sl"/>
        </w:rPr>
        <w:t>imensko storitvijo.</w:t>
      </w:r>
    </w:p>
    <w:p w14:paraId="4D74527E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08D03AC8" w14:textId="7721431C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b) Odzivni čas: čas od prejema uporabnikovega vprašanja ali prijave težave/</w:t>
      </w:r>
      <w:r w:rsidR="00301602">
        <w:rPr>
          <w:rFonts w:asciiTheme="majorHAnsi" w:hAnsiTheme="majorHAnsi" w:cstheme="majorHAnsi"/>
          <w:color w:val="000000"/>
          <w:lang w:val="sl"/>
        </w:rPr>
        <w:t>incidenta</w:t>
      </w:r>
      <w:r>
        <w:rPr>
          <w:rFonts w:asciiTheme="majorHAnsi" w:hAnsiTheme="majorHAnsi" w:cstheme="majorHAnsi"/>
          <w:color w:val="000000"/>
          <w:lang w:val="sl"/>
        </w:rPr>
        <w:t xml:space="preserve"> do</w:t>
      </w:r>
      <w:r w:rsidR="00301602">
        <w:rPr>
          <w:rFonts w:asciiTheme="majorHAnsi" w:hAnsiTheme="majorHAnsi" w:cstheme="majorHAnsi"/>
          <w:color w:val="000000"/>
          <w:lang w:val="sl"/>
        </w:rPr>
        <w:t xml:space="preserve"> </w:t>
      </w:r>
      <w:r>
        <w:rPr>
          <w:rFonts w:asciiTheme="majorHAnsi" w:hAnsiTheme="majorHAnsi" w:cstheme="majorHAnsi"/>
          <w:color w:val="000000"/>
          <w:lang w:val="sl"/>
        </w:rPr>
        <w:t>potrditve prejema in identifikacije problema s strani izvajalca.</w:t>
      </w:r>
    </w:p>
    <w:p w14:paraId="376BC494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2 Prioritete incidentov in odzivni časi</w:t>
      </w:r>
    </w:p>
    <w:p w14:paraId="3C613BE5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Tabela v nadaljevanju določa odzivni čas za vsako raven prioritete incidenta:</w:t>
      </w:r>
    </w:p>
    <w:p w14:paraId="79439E73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695"/>
        <w:gridCol w:w="5387"/>
        <w:gridCol w:w="1934"/>
      </w:tblGrid>
      <w:tr w:rsidR="003576EE" w:rsidRPr="00166BF6" w14:paraId="4DD653E4" w14:textId="77777777">
        <w:tc>
          <w:tcPr>
            <w:tcW w:w="1695" w:type="dxa"/>
          </w:tcPr>
          <w:p w14:paraId="32228EF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Prioriteta incidenta</w:t>
            </w:r>
          </w:p>
        </w:tc>
        <w:tc>
          <w:tcPr>
            <w:tcW w:w="5387" w:type="dxa"/>
          </w:tcPr>
          <w:p w14:paraId="72D2CCC7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Opis/primeri</w:t>
            </w:r>
          </w:p>
        </w:tc>
        <w:tc>
          <w:tcPr>
            <w:tcW w:w="1934" w:type="dxa"/>
          </w:tcPr>
          <w:p w14:paraId="1C06D998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Odzivni čas </w:t>
            </w:r>
          </w:p>
        </w:tc>
      </w:tr>
      <w:tr w:rsidR="003576EE" w:rsidRPr="00166BF6" w14:paraId="12857948" w14:textId="77777777">
        <w:tc>
          <w:tcPr>
            <w:tcW w:w="1695" w:type="dxa"/>
          </w:tcPr>
          <w:p w14:paraId="325D2A18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1 – Kritično</w:t>
            </w:r>
          </w:p>
        </w:tc>
        <w:tc>
          <w:tcPr>
            <w:tcW w:w="5387" w:type="dxa"/>
          </w:tcPr>
          <w:p w14:paraId="3B24B382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Imenska storitev je resno prizadeta; normalno delovanje ni možno, npr.</w:t>
            </w:r>
          </w:p>
          <w:p w14:paraId="0A07656F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- imenski strežniki ne odgovarjajo na poizvedbe</w:t>
            </w:r>
          </w:p>
          <w:p w14:paraId="58CB19AE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- imenski strežniki vračajo napačne odgovore</w:t>
            </w:r>
          </w:p>
        </w:tc>
        <w:tc>
          <w:tcPr>
            <w:tcW w:w="1934" w:type="dxa"/>
          </w:tcPr>
          <w:p w14:paraId="02A5178F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&lt; 2 uri </w:t>
            </w:r>
          </w:p>
        </w:tc>
      </w:tr>
      <w:tr w:rsidR="003576EE" w:rsidRPr="00166BF6" w14:paraId="32107EB0" w14:textId="77777777">
        <w:tc>
          <w:tcPr>
            <w:tcW w:w="1695" w:type="dxa"/>
          </w:tcPr>
          <w:p w14:paraId="258A78B5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2 – Visoko</w:t>
            </w:r>
          </w:p>
        </w:tc>
        <w:tc>
          <w:tcPr>
            <w:tcW w:w="5387" w:type="dxa"/>
          </w:tcPr>
          <w:p w14:paraId="4C456F0D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Pomembna funkcionalnost ni na voljo ali je motena, npr.</w:t>
            </w:r>
          </w:p>
          <w:p w14:paraId="1EC22183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- prenosi ali posodobitve cone se ne izvajajo</w:t>
            </w:r>
          </w:p>
          <w:p w14:paraId="188C65A0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- število aktivnih vozlišč &lt; 50 %</w:t>
            </w:r>
          </w:p>
        </w:tc>
        <w:tc>
          <w:tcPr>
            <w:tcW w:w="1934" w:type="dxa"/>
          </w:tcPr>
          <w:p w14:paraId="5D236618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&lt; 3 ure</w:t>
            </w:r>
          </w:p>
        </w:tc>
      </w:tr>
      <w:tr w:rsidR="003576EE" w:rsidRPr="00166BF6" w14:paraId="3128025A" w14:textId="77777777">
        <w:tc>
          <w:tcPr>
            <w:tcW w:w="1695" w:type="dxa"/>
          </w:tcPr>
          <w:p w14:paraId="3DD8E2DB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3 – Srednje</w:t>
            </w:r>
          </w:p>
        </w:tc>
        <w:tc>
          <w:tcPr>
            <w:tcW w:w="5387" w:type="dxa"/>
          </w:tcPr>
          <w:p w14:paraId="4483B8E2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Druge težave z delovanjem:</w:t>
            </w:r>
          </w:p>
          <w:p w14:paraId="0C58A154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- trajanje distribucije cone presega parameter SLA</w:t>
            </w:r>
          </w:p>
          <w:p w14:paraId="3F31C438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 xml:space="preserve">- razpoložljivost vozlišč pod KPI </w:t>
            </w:r>
          </w:p>
        </w:tc>
        <w:tc>
          <w:tcPr>
            <w:tcW w:w="1934" w:type="dxa"/>
          </w:tcPr>
          <w:p w14:paraId="734174BA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&lt; 4 ure</w:t>
            </w:r>
          </w:p>
        </w:tc>
      </w:tr>
      <w:tr w:rsidR="003576EE" w:rsidRPr="00166BF6" w14:paraId="49541169" w14:textId="77777777">
        <w:tc>
          <w:tcPr>
            <w:tcW w:w="1695" w:type="dxa"/>
          </w:tcPr>
          <w:p w14:paraId="66EEF70F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4 – Nizko</w:t>
            </w:r>
          </w:p>
        </w:tc>
        <w:tc>
          <w:tcPr>
            <w:tcW w:w="5387" w:type="dxa"/>
          </w:tcPr>
          <w:p w14:paraId="7888D569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Vse druge težave, ki nimajo vpliva na imensko storitev.</w:t>
            </w:r>
          </w:p>
        </w:tc>
        <w:tc>
          <w:tcPr>
            <w:tcW w:w="1934" w:type="dxa"/>
          </w:tcPr>
          <w:p w14:paraId="34700A9E" w14:textId="77777777" w:rsidR="003576EE" w:rsidRPr="00166BF6" w:rsidRDefault="00C46130" w:rsidP="00301602">
            <w:pPr>
              <w:spacing w:after="0" w:line="240" w:lineRule="auto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  <w:lang w:val="sl"/>
              </w:rPr>
              <w:t>&lt; 8 ur</w:t>
            </w:r>
          </w:p>
        </w:tc>
      </w:tr>
    </w:tbl>
    <w:p w14:paraId="392CC3F5" w14:textId="77777777" w:rsidR="003576EE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6FDF9311" w14:textId="77777777" w:rsidR="00301602" w:rsidRDefault="00301602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4F057FBB" w14:textId="77777777" w:rsidR="00301602" w:rsidRPr="00166BF6" w:rsidRDefault="00301602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05666D8B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lastRenderedPageBreak/>
        <w:t>3 Postopek eskalacije incidentov</w:t>
      </w:r>
    </w:p>
    <w:p w14:paraId="45851150" w14:textId="584D416B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a) Tehnična podpora izvajalca je za vse zahteve v zvezi z incidenti na voljo po e-pošti in telefonu v poslovnem času (</w:t>
      </w:r>
      <w:proofErr w:type="spellStart"/>
      <w:r>
        <w:rPr>
          <w:rFonts w:asciiTheme="majorHAnsi" w:hAnsiTheme="majorHAnsi" w:cstheme="majorHAnsi"/>
          <w:color w:val="000000"/>
          <w:lang w:val="sl"/>
        </w:rPr>
        <w:t>pon</w:t>
      </w:r>
      <w:proofErr w:type="spellEnd"/>
      <w:r>
        <w:rPr>
          <w:rFonts w:asciiTheme="majorHAnsi" w:hAnsiTheme="majorHAnsi" w:cstheme="majorHAnsi"/>
          <w:color w:val="000000"/>
          <w:lang w:val="sl"/>
        </w:rPr>
        <w:t xml:space="preserve">–pet, 8:00–18:00 CET/CEST). </w:t>
      </w:r>
    </w:p>
    <w:p w14:paraId="1CF5FD29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23FDD23B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 xml:space="preserve">b) Izvajalec zagotavlja dežurno telefonsko številko in e-poštni naslov za nujne primere, dostopna 24/7 (glej Prilogo E). Nujne prijave (tj. za incidente prioritete 1 – Kritično ali 2 – Visoko) je treba podati po telefonu (z uporabo 24/7 nujne telefonske številke) ali po e-pošti (z uporabo nujnega e-poštnega naslova). V vseh drugih primerih (tj. za incidente prioritete 3 – Srednje ali 4 – Nizko) velja zgoraj naveden odzivni čas v poslovnem času (od ponedeljka do petka, od 8.00 do 18.00 CET/CEST). Izvajalec si pridržuje pravico zaračunati strošek v primeru zlorabe nujnih kontaktnih kanalov. </w:t>
      </w:r>
    </w:p>
    <w:p w14:paraId="5B76EE15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7C9894DC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 xml:space="preserve">c) Če uporabnik zazna motnjo v storitvah, ki jih zagotavlja izvajalec, je dolžan izvajalca o motnji obvestiti čim prej, tako da pošlje sporočilo na nujni e-poštni naslov, ki ga določi izvajalec. </w:t>
      </w:r>
    </w:p>
    <w:p w14:paraId="0493B815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209B05B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d) V primeru izpadov – zlasti popolnih izpadov – je izvajalec dolžan vložiti posebne napore, da</w:t>
      </w:r>
    </w:p>
    <w:p w14:paraId="38BF6BC6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odpravi težavo v najkrajšem možnem času.</w:t>
      </w:r>
    </w:p>
    <w:p w14:paraId="2296672B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5717590D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5C02203" w14:textId="5983BA90" w:rsidR="003576EE" w:rsidRPr="00166BF6" w:rsidRDefault="00C46130" w:rsidP="00166BF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theme="majorHAnsi"/>
          <w:b/>
          <w:bCs/>
          <w:color w:val="003A81"/>
          <w:sz w:val="24"/>
          <w:szCs w:val="24"/>
        </w:rPr>
      </w:pPr>
      <w:r>
        <w:rPr>
          <w:rFonts w:asciiTheme="majorHAnsi" w:hAnsiTheme="majorHAnsi" w:cstheme="majorHAnsi"/>
          <w:b/>
          <w:bCs/>
          <w:color w:val="003A81"/>
          <w:sz w:val="24"/>
          <w:szCs w:val="24"/>
          <w:lang w:val="sl"/>
        </w:rPr>
        <w:t xml:space="preserve"> Kontaktni podatki</w:t>
      </w:r>
    </w:p>
    <w:p w14:paraId="309D8BA2" w14:textId="77777777" w:rsidR="00166BF6" w:rsidRPr="00166BF6" w:rsidRDefault="00166BF6" w:rsidP="00166BF6">
      <w:pPr>
        <w:pStyle w:val="NoSpacing"/>
        <w:rPr>
          <w:rFonts w:asciiTheme="majorHAnsi" w:hAnsiTheme="majorHAnsi" w:cstheme="majorHAnsi"/>
        </w:rPr>
      </w:pPr>
    </w:p>
    <w:p w14:paraId="26E5A236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1 Kontaktni podatki uporabnika</w:t>
      </w:r>
    </w:p>
    <w:p w14:paraId="7AA044A0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7175B179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E-pošta: dns@register.si</w:t>
      </w:r>
    </w:p>
    <w:p w14:paraId="4B2658D5" w14:textId="77777777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Telefon: 030 478 178</w:t>
      </w:r>
    </w:p>
    <w:p w14:paraId="2B7687DF" w14:textId="7BBF737F" w:rsidR="003576EE" w:rsidRPr="00166BF6" w:rsidRDefault="00C46130" w:rsidP="00E65AF8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>Naslov: Arnes, Tehnološki park 18, 1000 Ljubljana, Slovenija</w:t>
      </w:r>
    </w:p>
    <w:p w14:paraId="7D473B9E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30C712C9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6028828F" w14:textId="77777777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0D25841D" w14:textId="0694FDCD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3A81"/>
        </w:rPr>
      </w:pPr>
      <w:r>
        <w:rPr>
          <w:rFonts w:asciiTheme="majorHAnsi" w:hAnsiTheme="majorHAnsi" w:cstheme="majorHAnsi"/>
          <w:color w:val="003A81"/>
          <w:lang w:val="sl"/>
        </w:rPr>
        <w:t>2 Kontaktni podatki izvajalca</w:t>
      </w:r>
    </w:p>
    <w:p w14:paraId="46EE4426" w14:textId="77777777" w:rsidR="00E65AF8" w:rsidRDefault="00E65AF8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7B566915" w14:textId="4F3BDF31" w:rsidR="003576EE" w:rsidRPr="00166BF6" w:rsidRDefault="00E65AF8">
      <w:pPr>
        <w:spacing w:after="0" w:line="240" w:lineRule="auto"/>
        <w:jc w:val="both"/>
        <w:rPr>
          <w:rFonts w:asciiTheme="majorHAnsi" w:hAnsiTheme="majorHAnsi" w:cstheme="majorHAnsi"/>
          <w:color w:val="0563C2"/>
        </w:rPr>
      </w:pPr>
      <w:r>
        <w:rPr>
          <w:rFonts w:asciiTheme="majorHAnsi" w:hAnsiTheme="majorHAnsi" w:cstheme="majorHAnsi"/>
          <w:color w:val="000000"/>
          <w:lang w:val="sl"/>
        </w:rPr>
        <w:t>E-pošta:</w:t>
      </w:r>
    </w:p>
    <w:p w14:paraId="3D0A4AD5" w14:textId="76431D94" w:rsidR="003576EE" w:rsidRPr="00166BF6" w:rsidRDefault="00C46130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 xml:space="preserve">Telefon: </w:t>
      </w:r>
    </w:p>
    <w:p w14:paraId="0B74CC09" w14:textId="70211F58" w:rsidR="003576EE" w:rsidRDefault="00E65AF8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  <w:lang w:val="sl"/>
        </w:rPr>
        <w:t xml:space="preserve">Naslov: </w:t>
      </w:r>
    </w:p>
    <w:p w14:paraId="71B89D7A" w14:textId="77777777" w:rsidR="00E65AF8" w:rsidRPr="00166BF6" w:rsidRDefault="00E65AF8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1AC4394F" w14:textId="527E381F" w:rsidR="003576EE" w:rsidRPr="00166BF6" w:rsidRDefault="003576EE">
      <w:pPr>
        <w:spacing w:after="0" w:line="240" w:lineRule="auto"/>
        <w:jc w:val="both"/>
        <w:rPr>
          <w:rFonts w:asciiTheme="majorHAnsi" w:hAnsiTheme="majorHAnsi" w:cstheme="majorHAnsi"/>
        </w:rPr>
      </w:pPr>
    </w:p>
    <w:sectPr w:rsidR="003576EE" w:rsidRPr="00166BF6" w:rsidSect="00166BF6">
      <w:headerReference w:type="first" r:id="rId7"/>
      <w:pgSz w:w="11906" w:h="16838"/>
      <w:pgMar w:top="1440" w:right="1440" w:bottom="1440" w:left="1440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61F71" w14:textId="77777777" w:rsidR="00F75907" w:rsidRDefault="00F75907" w:rsidP="00166BF6">
      <w:pPr>
        <w:spacing w:after="0" w:line="240" w:lineRule="auto"/>
      </w:pPr>
      <w:r>
        <w:separator/>
      </w:r>
    </w:p>
  </w:endnote>
  <w:endnote w:type="continuationSeparator" w:id="0">
    <w:p w14:paraId="3CACFE9B" w14:textId="77777777" w:rsidR="00F75907" w:rsidRDefault="00F75907" w:rsidP="00166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09D66" w14:textId="77777777" w:rsidR="00F75907" w:rsidRDefault="00F75907" w:rsidP="00166BF6">
      <w:pPr>
        <w:spacing w:after="0" w:line="240" w:lineRule="auto"/>
      </w:pPr>
      <w:r>
        <w:separator/>
      </w:r>
    </w:p>
  </w:footnote>
  <w:footnote w:type="continuationSeparator" w:id="0">
    <w:p w14:paraId="45C7560A" w14:textId="77777777" w:rsidR="00F75907" w:rsidRDefault="00F75907" w:rsidP="00166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F97F" w14:textId="77777777" w:rsidR="00166BF6" w:rsidRDefault="00166BF6">
    <w:pPr>
      <w:pStyle w:val="Header"/>
    </w:pPr>
  </w:p>
  <w:p w14:paraId="6AC6556B" w14:textId="55C7C775" w:rsidR="00166BF6" w:rsidRDefault="00166BF6">
    <w:pPr>
      <w:pStyle w:val="Header"/>
    </w:pPr>
    <w:r>
      <w:rPr>
        <w:noProof/>
        <w:lang w:eastAsia="sl-SI"/>
      </w:rPr>
      <w:drawing>
        <wp:inline distT="0" distB="0" distL="0" distR="0" wp14:anchorId="6C3BA865" wp14:editId="0A69BF6E">
          <wp:extent cx="5731510" cy="660400"/>
          <wp:effectExtent l="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76F9"/>
    <w:multiLevelType w:val="hybridMultilevel"/>
    <w:tmpl w:val="FBEAD14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72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6EE"/>
    <w:rsid w:val="00166BF6"/>
    <w:rsid w:val="00301602"/>
    <w:rsid w:val="003576EE"/>
    <w:rsid w:val="004A417A"/>
    <w:rsid w:val="00640C82"/>
    <w:rsid w:val="00755043"/>
    <w:rsid w:val="008B72E1"/>
    <w:rsid w:val="009018F1"/>
    <w:rsid w:val="00992232"/>
    <w:rsid w:val="00A47E4A"/>
    <w:rsid w:val="00BB44A3"/>
    <w:rsid w:val="00C46130"/>
    <w:rsid w:val="00C5410D"/>
    <w:rsid w:val="00CB6191"/>
    <w:rsid w:val="00CF0C07"/>
    <w:rsid w:val="00E65AF8"/>
    <w:rsid w:val="00E96247"/>
    <w:rsid w:val="00F7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383CA"/>
  <w15:docId w15:val="{F66C5445-95FF-4A27-A4F3-FD0DAE5E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F87"/>
    <w:pPr>
      <w:spacing w:after="160" w:line="259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F8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3D3F8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1736C6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table" w:styleId="TableGrid">
    <w:name w:val="Table Grid"/>
    <w:basedOn w:val="TableNormal"/>
    <w:uiPriority w:val="39"/>
    <w:rsid w:val="001736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6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6BF6"/>
  </w:style>
  <w:style w:type="paragraph" w:styleId="Footer">
    <w:name w:val="footer"/>
    <w:basedOn w:val="Normal"/>
    <w:link w:val="FooterChar"/>
    <w:uiPriority w:val="99"/>
    <w:unhideWhenUsed/>
    <w:rsid w:val="00166B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6BF6"/>
  </w:style>
  <w:style w:type="paragraph" w:styleId="ListParagraph">
    <w:name w:val="List Paragraph"/>
    <w:basedOn w:val="Normal"/>
    <w:uiPriority w:val="34"/>
    <w:qFormat/>
    <w:rsid w:val="00166BF6"/>
    <w:pPr>
      <w:ind w:left="720"/>
      <w:contextualSpacing/>
    </w:pPr>
  </w:style>
  <w:style w:type="paragraph" w:styleId="NoSpacing">
    <w:name w:val="No Spacing"/>
    <w:uiPriority w:val="1"/>
    <w:qFormat/>
    <w:rsid w:val="00166BF6"/>
  </w:style>
  <w:style w:type="paragraph" w:styleId="Revision">
    <w:name w:val="Revision"/>
    <w:hidden/>
    <w:uiPriority w:val="99"/>
    <w:semiHidden/>
    <w:rsid w:val="00E96247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Arnes</Company>
  <LinksUpToDate>false</LinksUpToDate>
  <CharactersWithSpaces>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dc:description/>
  <cp:lastModifiedBy>Mojca Hribar</cp:lastModifiedBy>
  <cp:revision>5</cp:revision>
  <dcterms:created xsi:type="dcterms:W3CDTF">2025-11-18T11:19:00Z</dcterms:created>
  <dcterms:modified xsi:type="dcterms:W3CDTF">2025-11-27T09:52:00Z</dcterms:modified>
  <dc:language>en-US</dc:language>
</cp:coreProperties>
</file>